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9D" w:rsidRDefault="0016009D" w:rsidP="0016009D">
      <w:pPr>
        <w:rPr>
          <w:rFonts w:ascii="Times New Roman" w:eastAsia="Calibri" w:hAnsi="Times New Roman" w:cs="Times New Roman"/>
          <w:b/>
          <w:sz w:val="28"/>
          <w:szCs w:val="1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18"/>
          <w:u w:val="single"/>
        </w:rPr>
        <w:t>TREASURY DIVISION</w:t>
      </w:r>
    </w:p>
    <w:p w:rsidR="0016009D" w:rsidRDefault="0016009D" w:rsidP="0016009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Treasury Division of </w:t>
      </w:r>
      <w:r w:rsidR="002741C3">
        <w:rPr>
          <w:rFonts w:ascii="Times New Roman" w:eastAsia="Calibri" w:hAnsi="Times New Roman" w:cs="Times New Roman"/>
          <w:sz w:val="24"/>
          <w:szCs w:val="24"/>
        </w:rPr>
        <w:t xml:space="preserve">the Controller and </w:t>
      </w:r>
      <w:r w:rsidR="002741C3" w:rsidRPr="002741C3">
        <w:rPr>
          <w:rFonts w:ascii="Times New Roman" w:eastAsia="Calibri" w:hAnsi="Times New Roman" w:cs="Times New Roman"/>
          <w:color w:val="FF0000"/>
          <w:sz w:val="24"/>
          <w:szCs w:val="24"/>
        </w:rPr>
        <w:t>Accountant-</w:t>
      </w:r>
      <w:r w:rsidRPr="002741C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General’s </w:t>
      </w:r>
      <w:r>
        <w:rPr>
          <w:rFonts w:ascii="Times New Roman" w:eastAsia="Calibri" w:hAnsi="Times New Roman" w:cs="Times New Roman"/>
          <w:sz w:val="24"/>
          <w:szCs w:val="24"/>
        </w:rPr>
        <w:t>Department is one o</w:t>
      </w:r>
      <w:r w:rsidR="002741C3">
        <w:rPr>
          <w:rFonts w:ascii="Times New Roman" w:eastAsia="Calibri" w:hAnsi="Times New Roman" w:cs="Times New Roman"/>
          <w:sz w:val="24"/>
          <w:szCs w:val="24"/>
        </w:rPr>
        <w:t xml:space="preserve">f the six (6) Divisions of the </w:t>
      </w:r>
      <w:r w:rsidR="002741C3" w:rsidRPr="002741C3">
        <w:rPr>
          <w:rFonts w:ascii="Times New Roman" w:eastAsia="Calibri" w:hAnsi="Times New Roman" w:cs="Times New Roman"/>
          <w:color w:val="FF0000"/>
          <w:sz w:val="24"/>
          <w:szCs w:val="24"/>
        </w:rPr>
        <w:t>D</w:t>
      </w:r>
      <w:r w:rsidRPr="002741C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epartment </w:t>
      </w:r>
      <w:r>
        <w:rPr>
          <w:rFonts w:ascii="Times New Roman" w:eastAsia="Calibri" w:hAnsi="Times New Roman" w:cs="Times New Roman"/>
          <w:sz w:val="24"/>
          <w:szCs w:val="24"/>
        </w:rPr>
        <w:t xml:space="preserve">headed by a Deputy Controller and </w:t>
      </w:r>
      <w:r w:rsidR="002741C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an </w:t>
      </w:r>
      <w:r>
        <w:rPr>
          <w:rFonts w:ascii="Times New Roman" w:eastAsia="Calibri" w:hAnsi="Times New Roman" w:cs="Times New Roman"/>
          <w:sz w:val="24"/>
          <w:szCs w:val="24"/>
        </w:rPr>
        <w:t xml:space="preserve">Accountant-General, who reports directly to the Controller and Accountant-General (CAG).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The purpose of the Division is to ensure the control, measurement, analysis and classifica</w:t>
      </w:r>
      <w:r w:rsidR="002741C3">
        <w:rPr>
          <w:rFonts w:ascii="Times New Roman" w:eastAsia="Calibri" w:hAnsi="Times New Roman" w:cs="Times New Roman"/>
          <w:sz w:val="24"/>
          <w:szCs w:val="24"/>
        </w:rPr>
        <w:t xml:space="preserve">tion of the financial flows of </w:t>
      </w:r>
      <w:r w:rsidR="002741C3" w:rsidRPr="002741C3">
        <w:rPr>
          <w:rFonts w:ascii="Times New Roman" w:eastAsia="Calibri" w:hAnsi="Times New Roman" w:cs="Times New Roman"/>
          <w:color w:val="FF0000"/>
          <w:sz w:val="24"/>
          <w:szCs w:val="24"/>
        </w:rPr>
        <w:t>G</w:t>
      </w:r>
      <w:r w:rsidRPr="002741C3">
        <w:rPr>
          <w:rFonts w:ascii="Times New Roman" w:eastAsia="Calibri" w:hAnsi="Times New Roman" w:cs="Times New Roman"/>
          <w:color w:val="FF0000"/>
          <w:sz w:val="24"/>
          <w:szCs w:val="24"/>
        </w:rPr>
        <w:t>overnment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6009D" w:rsidRDefault="0016009D" w:rsidP="0016009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Division has five (5) Directorates</w:t>
      </w:r>
      <w:r w:rsidR="002741C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namely</w:t>
      </w:r>
      <w:r>
        <w:rPr>
          <w:rFonts w:ascii="Times New Roman" w:eastAsia="Calibri" w:hAnsi="Times New Roman" w:cs="Times New Roman"/>
          <w:b/>
          <w:color w:val="4A442A" w:themeColor="background2" w:themeShade="40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16009D" w:rsidRDefault="0016009D" w:rsidP="0016009D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National Treasury</w:t>
      </w:r>
      <w:r w:rsidR="002741C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6009D" w:rsidRDefault="0016009D" w:rsidP="0016009D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Regional and Foreign Treasury, </w:t>
      </w:r>
    </w:p>
    <w:p w:rsidR="0016009D" w:rsidRDefault="0016009D" w:rsidP="0016009D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Public Debt and Investment</w:t>
      </w:r>
      <w:r w:rsidR="002741C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741C3" w:rsidRDefault="0016009D" w:rsidP="0016009D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Revenue and Cash Management</w:t>
      </w:r>
      <w:r w:rsidR="002741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6009D" w:rsidRPr="002741C3" w:rsidRDefault="0016009D" w:rsidP="0016009D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741C3">
        <w:rPr>
          <w:rFonts w:ascii="Times New Roman" w:eastAsia="Calibri" w:hAnsi="Times New Roman" w:cs="Times New Roman"/>
          <w:color w:val="FF0000"/>
          <w:sz w:val="24"/>
          <w:szCs w:val="24"/>
        </w:rPr>
        <w:t>MDA/MMDAs.</w:t>
      </w:r>
    </w:p>
    <w:p w:rsidR="0016009D" w:rsidRDefault="0016009D" w:rsidP="0016009D">
      <w:pPr>
        <w:pStyle w:val="NoSpacing"/>
        <w:spacing w:line="276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FUNCTIONS OF THE DIVISION:</w:t>
      </w:r>
    </w:p>
    <w:p w:rsidR="0016009D" w:rsidRDefault="0016009D" w:rsidP="0016009D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Responsible for establishing policy objectives aimed at the growth and development of  </w:t>
      </w:r>
    </w:p>
    <w:p w:rsidR="0016009D" w:rsidRDefault="002741C3" w:rsidP="0016009D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Government Treasury,</w:t>
      </w:r>
    </w:p>
    <w:p w:rsidR="0016009D" w:rsidRDefault="0016009D" w:rsidP="0016009D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Ensures that adequate resources are available for the efficient running of the </w:t>
      </w:r>
      <w:r w:rsidR="002741C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Division,</w:t>
      </w:r>
    </w:p>
    <w:p w:rsidR="0016009D" w:rsidRDefault="0016009D" w:rsidP="0016009D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Ensures the preparation of the Tr</w:t>
      </w:r>
      <w:r w:rsidR="002741C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easury Division’s annual budget,</w:t>
      </w:r>
    </w:p>
    <w:p w:rsidR="0016009D" w:rsidRDefault="0016009D" w:rsidP="0016009D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Issues Treasury circulars a</w:t>
      </w:r>
      <w:r w:rsidR="002741C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nd directives to MDAs and MMDAs,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16009D" w:rsidRDefault="0016009D" w:rsidP="0016009D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Responsible for local government accoun</w:t>
      </w:r>
      <w:r w:rsidR="002741C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ting and reporting requirements,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16009D" w:rsidRDefault="0016009D" w:rsidP="0016009D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Responsible for evolving financial systems that govern the</w:t>
      </w:r>
      <w:r w:rsidR="002741C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management of government funds,</w:t>
      </w:r>
    </w:p>
    <w:p w:rsidR="0016009D" w:rsidRDefault="0016009D" w:rsidP="0016009D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Co-ordinates the receipts, custody, disbursement and transfer of public and </w:t>
      </w:r>
      <w:r w:rsidR="002741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trust monies as required by law,</w:t>
      </w:r>
    </w:p>
    <w:p w:rsidR="0016009D" w:rsidRDefault="0016009D" w:rsidP="0016009D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Relates each department’s relea</w:t>
      </w:r>
      <w:r w:rsidR="002741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sed budget to the Appropriation,</w:t>
      </w:r>
    </w:p>
    <w:p w:rsidR="0016009D" w:rsidRDefault="0016009D" w:rsidP="0016009D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Responsible for the day to day cash management of the co</w:t>
      </w:r>
      <w:r w:rsidR="002741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nsolidated fund and other funds,</w:t>
      </w:r>
    </w:p>
    <w:p w:rsidR="0016009D" w:rsidRDefault="0016009D" w:rsidP="0016009D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Responsible for the control of liquidity in </w:t>
      </w:r>
      <w:r w:rsidR="002741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public financial administration,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16009D" w:rsidRDefault="0016009D" w:rsidP="0016009D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Assesses and advises on the efficiency of all aspects </w:t>
      </w:r>
      <w:r w:rsidR="002741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of the financial administration,</w:t>
      </w:r>
    </w:p>
    <w:p w:rsidR="0016009D" w:rsidRDefault="0016009D" w:rsidP="0016009D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Assesses and advises on the efficiency of all aspects of the</w:t>
      </w:r>
      <w:r w:rsidR="00B5580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financial assets of </w:t>
      </w:r>
      <w:r w:rsidR="00B55808" w:rsidRPr="00B55808">
        <w:rPr>
          <w:rFonts w:ascii="Times New Roman" w:hAnsi="Times New Roman" w:cs="Times New Roman"/>
          <w:color w:val="FF0000"/>
          <w:sz w:val="24"/>
          <w:szCs w:val="24"/>
        </w:rPr>
        <w:t>G</w:t>
      </w:r>
      <w:r w:rsidR="002741C3" w:rsidRPr="00B55808">
        <w:rPr>
          <w:rFonts w:ascii="Times New Roman" w:hAnsi="Times New Roman" w:cs="Times New Roman"/>
          <w:color w:val="FF0000"/>
          <w:sz w:val="24"/>
          <w:szCs w:val="24"/>
        </w:rPr>
        <w:t>overnment</w:t>
      </w:r>
      <w:r w:rsidR="002741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</w:t>
      </w:r>
    </w:p>
    <w:p w:rsidR="0016009D" w:rsidRDefault="0016009D" w:rsidP="0016009D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Develops and recommends suitable systems for management and control of the commitments and conti</w:t>
      </w:r>
      <w:r w:rsidR="00B5580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ngent liabilities of </w:t>
      </w:r>
      <w:r w:rsidR="00B55808" w:rsidRPr="00B55808">
        <w:rPr>
          <w:rFonts w:ascii="Times New Roman" w:hAnsi="Times New Roman" w:cs="Times New Roman"/>
          <w:color w:val="FF0000"/>
          <w:sz w:val="24"/>
          <w:szCs w:val="24"/>
        </w:rPr>
        <w:t>G</w:t>
      </w:r>
      <w:r w:rsidR="002741C3" w:rsidRPr="00B55808">
        <w:rPr>
          <w:rFonts w:ascii="Times New Roman" w:hAnsi="Times New Roman" w:cs="Times New Roman"/>
          <w:color w:val="FF0000"/>
          <w:sz w:val="24"/>
          <w:szCs w:val="24"/>
        </w:rPr>
        <w:t>overnment</w:t>
      </w:r>
      <w:r w:rsidR="002741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</w:t>
      </w:r>
    </w:p>
    <w:p w:rsidR="0016009D" w:rsidRDefault="0016009D" w:rsidP="0016009D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Responsible for developing appropriate strategies and providing effective advice and reporting systems to vote controllers in areas</w:t>
      </w:r>
      <w:r w:rsidR="002741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such as:</w:t>
      </w:r>
    </w:p>
    <w:p w:rsidR="0016009D" w:rsidRDefault="0016009D" w:rsidP="0016009D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6009D" w:rsidRDefault="0016009D" w:rsidP="0016009D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Cs w:val="24"/>
        </w:rPr>
        <w:t>Securing effective use of app</w:t>
      </w:r>
      <w:r w:rsidR="002741C3">
        <w:rPr>
          <w:rFonts w:ascii="Times New Roman" w:hAnsi="Times New Roman" w:cs="Times New Roman"/>
          <w:color w:val="404040" w:themeColor="text1" w:themeTint="BF"/>
          <w:szCs w:val="24"/>
        </w:rPr>
        <w:t>ropriations under their control,</w:t>
      </w:r>
      <w:r>
        <w:rPr>
          <w:rFonts w:ascii="Times New Roman" w:hAnsi="Times New Roman" w:cs="Times New Roman"/>
          <w:color w:val="404040" w:themeColor="text1" w:themeTint="BF"/>
          <w:szCs w:val="24"/>
        </w:rPr>
        <w:t xml:space="preserve"> </w:t>
      </w:r>
      <w:bookmarkStart w:id="0" w:name="_GoBack"/>
      <w:bookmarkEnd w:id="0"/>
    </w:p>
    <w:p w:rsidR="0016009D" w:rsidRDefault="0016009D" w:rsidP="0016009D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Cs w:val="24"/>
        </w:rPr>
        <w:t>Receiving and ordering the disbursement of any trust monies for which they are administering authorities</w:t>
      </w:r>
      <w:r w:rsidR="002741C3">
        <w:rPr>
          <w:rFonts w:ascii="Times New Roman" w:hAnsi="Times New Roman" w:cs="Times New Roman"/>
          <w:color w:val="404040" w:themeColor="text1" w:themeTint="BF"/>
          <w:szCs w:val="24"/>
        </w:rPr>
        <w:t>,</w:t>
      </w:r>
    </w:p>
    <w:p w:rsidR="0016009D" w:rsidRDefault="0016009D" w:rsidP="0016009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Cs w:val="24"/>
        </w:rPr>
        <w:t>Ensuring the due and proper co</w:t>
      </w:r>
      <w:r w:rsidR="002741C3">
        <w:rPr>
          <w:rFonts w:ascii="Times New Roman" w:hAnsi="Times New Roman" w:cs="Times New Roman"/>
          <w:color w:val="404040" w:themeColor="text1" w:themeTint="BF"/>
          <w:szCs w:val="24"/>
        </w:rPr>
        <w:t>llection of government revenues,</w:t>
      </w:r>
    </w:p>
    <w:p w:rsidR="0016009D" w:rsidRDefault="0016009D" w:rsidP="0016009D">
      <w:pPr>
        <w:pStyle w:val="ListParagraph"/>
        <w:spacing w:line="360" w:lineRule="auto"/>
        <w:ind w:left="810"/>
        <w:jc w:val="both"/>
        <w:rPr>
          <w:rFonts w:ascii="Times New Roman" w:hAnsi="Times New Roman" w:cs="Times New Roman"/>
          <w:color w:val="404040" w:themeColor="text1" w:themeTint="BF"/>
          <w:szCs w:val="24"/>
        </w:rPr>
      </w:pPr>
    </w:p>
    <w:p w:rsidR="0016009D" w:rsidRDefault="0016009D" w:rsidP="0016009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Responsible for local government accoun</w:t>
      </w:r>
      <w:r w:rsidR="002741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ting and reporting requirements,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16009D" w:rsidRDefault="0016009D" w:rsidP="0016009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Responsible for evolving financial systems that govern the</w:t>
      </w:r>
      <w:r w:rsidR="002741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management of government funds,</w:t>
      </w:r>
    </w:p>
    <w:p w:rsidR="0016009D" w:rsidRDefault="0016009D" w:rsidP="0016009D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Evaluates and communicates to the CAG all updates relating to the ope</w:t>
      </w:r>
      <w:r w:rsidR="002741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ration of the government budget,</w:t>
      </w:r>
    </w:p>
    <w:p w:rsidR="0016009D" w:rsidRDefault="0016009D" w:rsidP="0016009D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Ensures the establishment of proper and necessary banking relationship with Bank of Ghana and other financial institutions with the view to creating the right framework for the management of publi</w:t>
      </w:r>
      <w:r w:rsidR="002741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c funds,</w:t>
      </w:r>
    </w:p>
    <w:p w:rsidR="0016009D" w:rsidRDefault="0016009D" w:rsidP="0016009D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Prepares monthly, quarterly and</w:t>
      </w:r>
      <w:r w:rsidR="002741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annual reports of the Division,</w:t>
      </w:r>
    </w:p>
    <w:p w:rsidR="0016009D" w:rsidRDefault="0016009D" w:rsidP="0016009D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Responsible for local gover</w:t>
      </w:r>
      <w:r w:rsidR="002741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nment accounting and reporting,</w:t>
      </w:r>
    </w:p>
    <w:p w:rsidR="0016009D" w:rsidRDefault="0016009D" w:rsidP="0016009D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Performs any other duties as </w:t>
      </w:r>
      <w:r w:rsidRPr="002741C3">
        <w:rPr>
          <w:rFonts w:ascii="Times New Roman" w:hAnsi="Times New Roman" w:cs="Times New Roman"/>
          <w:color w:val="FF0000"/>
          <w:sz w:val="24"/>
          <w:szCs w:val="24"/>
        </w:rPr>
        <w:t>may</w:t>
      </w:r>
      <w:r w:rsidR="002741C3" w:rsidRPr="002741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741C3">
        <w:rPr>
          <w:rFonts w:ascii="Times New Roman" w:hAnsi="Times New Roman" w:cs="Times New Roman"/>
          <w:color w:val="FF0000"/>
          <w:sz w:val="24"/>
          <w:szCs w:val="24"/>
        </w:rPr>
        <w:t xml:space="preserve">be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assigned by the Controller and Accountant-General</w:t>
      </w:r>
      <w:r>
        <w:rPr>
          <w:rFonts w:ascii="Times New Roman" w:eastAsia="Calibri" w:hAnsi="Times New Roman" w:cs="Times New Roman"/>
          <w:b/>
          <w:color w:val="404040" w:themeColor="text1" w:themeTint="BF"/>
          <w:sz w:val="24"/>
          <w:szCs w:val="24"/>
        </w:rPr>
        <w:t>.</w:t>
      </w:r>
    </w:p>
    <w:p w:rsidR="0016009D" w:rsidRDefault="0016009D" w:rsidP="0016009D">
      <w:pPr>
        <w:spacing w:line="360" w:lineRule="auto"/>
        <w:ind w:left="90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</w:p>
    <w:p w:rsidR="0016009D" w:rsidRDefault="0016009D" w:rsidP="0016009D">
      <w:pPr>
        <w:pStyle w:val="NoSpacing"/>
        <w:spacing w:line="276" w:lineRule="auto"/>
        <w:ind w:hanging="9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A52E7E" w:rsidRDefault="00A52E7E"/>
    <w:sectPr w:rsidR="00A52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D1614"/>
    <w:multiLevelType w:val="hybridMultilevel"/>
    <w:tmpl w:val="68260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01D86"/>
    <w:multiLevelType w:val="hybridMultilevel"/>
    <w:tmpl w:val="CC906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69C56B7E"/>
    <w:multiLevelType w:val="hybridMultilevel"/>
    <w:tmpl w:val="02AA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473149"/>
    <w:multiLevelType w:val="hybridMultilevel"/>
    <w:tmpl w:val="6F70B2A6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9D"/>
    <w:rsid w:val="0016009D"/>
    <w:rsid w:val="002741C3"/>
    <w:rsid w:val="00A52E7E"/>
    <w:rsid w:val="00B5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09D"/>
    <w:pPr>
      <w:spacing w:after="160"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00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009D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09D"/>
    <w:pPr>
      <w:spacing w:after="160"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00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009D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418</Words>
  <Characters>2383</Characters>
  <Application>Microsoft Office Word</Application>
  <DocSecurity>0</DocSecurity>
  <Lines>19</Lines>
  <Paragraphs>5</Paragraphs>
  <ScaleCrop>false</ScaleCrop>
  <Company>Microsoft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2020-07-17T16:29:00Z</dcterms:created>
  <dcterms:modified xsi:type="dcterms:W3CDTF">2020-07-19T09:18:00Z</dcterms:modified>
</cp:coreProperties>
</file>